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4F5" w:rsidRDefault="000E04F5" w:rsidP="000E04F5">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FDD07A8" wp14:editId="6D7B8EC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04F5" w:rsidRDefault="000E04F5" w:rsidP="000E04F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E04F5" w:rsidRDefault="000E04F5" w:rsidP="000E04F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E04F5" w:rsidRDefault="000E04F5" w:rsidP="000E04F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0E04F5" w:rsidRDefault="000E04F5" w:rsidP="000E04F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E04F5" w:rsidRDefault="000E04F5" w:rsidP="000E04F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E04F5" w:rsidRDefault="000E04F5" w:rsidP="000E04F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38220EFD" wp14:editId="0DA5C28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0E04F5" w:rsidRPr="000E04F5" w:rsidRDefault="000E04F5" w:rsidP="000E04F5">
      <w:pPr>
        <w:jc w:val="center"/>
        <w:rPr>
          <w:rFonts w:ascii="Times New Roman" w:hAnsi="Times New Roman" w:cs="Times New Roman"/>
          <w:b/>
          <w:sz w:val="24"/>
          <w:szCs w:val="24"/>
          <w:shd w:val="clear" w:color="auto" w:fill="FFFFFF"/>
          <w:lang w:val="uk-UA"/>
        </w:rPr>
      </w:pPr>
      <w:r w:rsidRPr="000E04F5">
        <w:rPr>
          <w:rFonts w:ascii="Times New Roman" w:hAnsi="Times New Roman" w:cs="Times New Roman"/>
          <w:b/>
          <w:sz w:val="24"/>
          <w:szCs w:val="24"/>
          <w:shd w:val="clear" w:color="auto" w:fill="FFFFFF"/>
          <w:lang w:val="uk-UA"/>
        </w:rPr>
        <w:t>Що відноситься до стаціонарних джерел забруднення атмосфери?</w:t>
      </w:r>
    </w:p>
    <w:p w:rsidR="000E04F5" w:rsidRPr="000E04F5" w:rsidRDefault="000E04F5" w:rsidP="000E04F5">
      <w:pPr>
        <w:spacing w:after="0" w:line="240" w:lineRule="auto"/>
        <w:ind w:firstLine="567"/>
        <w:jc w:val="both"/>
        <w:rPr>
          <w:rFonts w:ascii="Times New Roman" w:hAnsi="Times New Roman" w:cs="Times New Roman"/>
          <w:sz w:val="24"/>
          <w:szCs w:val="24"/>
          <w:shd w:val="clear" w:color="auto" w:fill="FFFFFF"/>
          <w:lang w:val="uk-UA"/>
        </w:rPr>
      </w:pPr>
      <w:r w:rsidRPr="000E04F5">
        <w:rPr>
          <w:rFonts w:ascii="Times New Roman" w:hAnsi="Times New Roman" w:cs="Times New Roman"/>
          <w:sz w:val="24"/>
          <w:szCs w:val="24"/>
          <w:shd w:val="clear" w:color="auto" w:fill="FFFFFF"/>
          <w:lang w:val="uk-UA"/>
        </w:rPr>
        <w:t xml:space="preserve">Відповідно до </w:t>
      </w:r>
      <w:proofErr w:type="spellStart"/>
      <w:r w:rsidRPr="000E04F5">
        <w:rPr>
          <w:rFonts w:ascii="Times New Roman" w:hAnsi="Times New Roman" w:cs="Times New Roman"/>
          <w:sz w:val="24"/>
          <w:szCs w:val="24"/>
          <w:shd w:val="clear" w:color="auto" w:fill="FFFFFF"/>
          <w:lang w:val="uk-UA"/>
        </w:rPr>
        <w:t>п.п</w:t>
      </w:r>
      <w:proofErr w:type="spellEnd"/>
      <w:r w:rsidRPr="000E04F5">
        <w:rPr>
          <w:rFonts w:ascii="Times New Roman" w:hAnsi="Times New Roman" w:cs="Times New Roman"/>
          <w:sz w:val="24"/>
          <w:szCs w:val="24"/>
          <w:shd w:val="clear" w:color="auto" w:fill="FFFFFF"/>
          <w:lang w:val="uk-UA"/>
        </w:rPr>
        <w:t>. 240.1.1 п. 240.1 ст. 240 Податкового кодексу України від 02 грудня 2010 року № 2755-VI зі змінами та доповненнями (далі – ПКУ) платниками екологічного податку є суб’єкти господарювання, юридичні особи, що не провадять господарську (підприємницьку) діяльність, бюджетні установи, громадські та інші підприємства, установи та організації, постійні представництва нерезидентів, включаючи тих, які виконують агентські (представницькі) функції стосовно таких нерезидентів або їх засновників, під час провадження діяльності яких на території України і в межах її континентального шельфу та виключної (морської) економічної зони здійснюються, зокрема, викиди забруднюючих речовин в атмосферне повітря стаціонарними джерелами забруднення.</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 xml:space="preserve">Згідно з п. 240.7 ст. 240 ПКУ не є платниками екологічного податку за викиди двоокису вуглецю суб’єкти, зазначені у п. 240.1 ст. 240 ПКУ, якими здійснюються такі викиди в обсязі не більше 500 </w:t>
      </w:r>
      <w:proofErr w:type="spellStart"/>
      <w:r w:rsidRPr="000E04F5">
        <w:rPr>
          <w:rFonts w:ascii="Times New Roman" w:hAnsi="Times New Roman" w:cs="Times New Roman"/>
          <w:sz w:val="24"/>
          <w:szCs w:val="24"/>
          <w:shd w:val="clear" w:color="auto" w:fill="FFFFFF"/>
          <w:lang w:val="uk-UA"/>
        </w:rPr>
        <w:t>тонн</w:t>
      </w:r>
      <w:proofErr w:type="spellEnd"/>
      <w:r w:rsidRPr="000E04F5">
        <w:rPr>
          <w:rFonts w:ascii="Times New Roman" w:hAnsi="Times New Roman" w:cs="Times New Roman"/>
          <w:sz w:val="24"/>
          <w:szCs w:val="24"/>
          <w:shd w:val="clear" w:color="auto" w:fill="FFFFFF"/>
          <w:lang w:val="uk-UA"/>
        </w:rPr>
        <w:t xml:space="preserve"> за рік.</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 xml:space="preserve">У разі якщо річний обсяг викидів двоокису вуглецю перевищує 500 </w:t>
      </w:r>
      <w:proofErr w:type="spellStart"/>
      <w:r w:rsidRPr="000E04F5">
        <w:rPr>
          <w:rFonts w:ascii="Times New Roman" w:hAnsi="Times New Roman" w:cs="Times New Roman"/>
          <w:sz w:val="24"/>
          <w:szCs w:val="24"/>
          <w:shd w:val="clear" w:color="auto" w:fill="FFFFFF"/>
          <w:lang w:val="uk-UA"/>
        </w:rPr>
        <w:t>тонн</w:t>
      </w:r>
      <w:proofErr w:type="spellEnd"/>
      <w:r w:rsidRPr="000E04F5">
        <w:rPr>
          <w:rFonts w:ascii="Times New Roman" w:hAnsi="Times New Roman" w:cs="Times New Roman"/>
          <w:sz w:val="24"/>
          <w:szCs w:val="24"/>
          <w:shd w:val="clear" w:color="auto" w:fill="FFFFFF"/>
          <w:lang w:val="uk-UA"/>
        </w:rPr>
        <w:t xml:space="preserve"> за рік, суб’єкти зобов’язані зареєструватися платниками податку у податковому (звітному) періоді, в якому відбулося таке перевищення. Такі платники зобов’язані скласти та подати податкову звітність, нарахувати та сплатити податок за податковий (звітний) період, у якому відбулося таке перевищення, у порядку, передбаченому ПКУ.</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Об’єктом та базою оподаткування екологічним податком є, зокрема, обсяги та види забруднюючих речовин, які викидаються в атмосферне повітря стаціонарними джерелами (</w:t>
      </w:r>
      <w:proofErr w:type="spellStart"/>
      <w:r w:rsidRPr="000E04F5">
        <w:rPr>
          <w:rFonts w:ascii="Times New Roman" w:hAnsi="Times New Roman" w:cs="Times New Roman"/>
          <w:sz w:val="24"/>
          <w:szCs w:val="24"/>
          <w:shd w:val="clear" w:color="auto" w:fill="FFFFFF"/>
          <w:lang w:val="uk-UA"/>
        </w:rPr>
        <w:t>п.п</w:t>
      </w:r>
      <w:proofErr w:type="spellEnd"/>
      <w:r w:rsidRPr="000E04F5">
        <w:rPr>
          <w:rFonts w:ascii="Times New Roman" w:hAnsi="Times New Roman" w:cs="Times New Roman"/>
          <w:sz w:val="24"/>
          <w:szCs w:val="24"/>
          <w:shd w:val="clear" w:color="auto" w:fill="FFFFFF"/>
          <w:lang w:val="uk-UA"/>
        </w:rPr>
        <w:t>. 242.1.1 п. 242.1 ст. 242 ПКУ).</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Стаціонарне джерело забруднення – підприємство, цех, агрегат, установка або інший нерухомий об’єкт, що зберігає свої просторові координати протягом певного часу і здійснює викиди забруднюючих речовин в атмосферу та/або скиди забруднюючих речовин у водні об’єкти (</w:t>
      </w:r>
      <w:proofErr w:type="spellStart"/>
      <w:r w:rsidRPr="000E04F5">
        <w:rPr>
          <w:rFonts w:ascii="Times New Roman" w:hAnsi="Times New Roman" w:cs="Times New Roman"/>
          <w:sz w:val="24"/>
          <w:szCs w:val="24"/>
          <w:shd w:val="clear" w:color="auto" w:fill="FFFFFF"/>
          <w:lang w:val="uk-UA"/>
        </w:rPr>
        <w:t>п.п</w:t>
      </w:r>
      <w:proofErr w:type="spellEnd"/>
      <w:r w:rsidRPr="000E04F5">
        <w:rPr>
          <w:rFonts w:ascii="Times New Roman" w:hAnsi="Times New Roman" w:cs="Times New Roman"/>
          <w:sz w:val="24"/>
          <w:szCs w:val="24"/>
          <w:shd w:val="clear" w:color="auto" w:fill="FFFFFF"/>
          <w:lang w:val="uk-UA"/>
        </w:rPr>
        <w:t>. 14.1.230 п. 14.1 ст. 14 ПКУ).</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Крім того, ст. 1 «Визначення термінів» Закону України від 16 жовтня 1992 року № 2707-ХІІ «Про охорону атмосферного повітря» зі змінами та доповненнями (далі – Закон № 2707) визначено, що:</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джерело викиду – це об’єкт (підприємство, цех, агрегат, установка, транспортний засіб тощо), з якого надходить в атмосферне повітря забруднююча речовина або суміш таких речовин;</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 xml:space="preserve">неорганізоване стаціонарне джерело викиду – це джерело викиду, з якого забруднюючі речовини надходять в атмосферне повітря у вигляді ненаправлених потоків та яке не оснащене спеціальними спорудами для відведення </w:t>
      </w:r>
      <w:proofErr w:type="spellStart"/>
      <w:r w:rsidRPr="000E04F5">
        <w:rPr>
          <w:rFonts w:ascii="Times New Roman" w:hAnsi="Times New Roman" w:cs="Times New Roman"/>
          <w:sz w:val="24"/>
          <w:szCs w:val="24"/>
          <w:shd w:val="clear" w:color="auto" w:fill="FFFFFF"/>
          <w:lang w:val="uk-UA"/>
        </w:rPr>
        <w:t>пилогазоповітряної</w:t>
      </w:r>
      <w:proofErr w:type="spellEnd"/>
      <w:r w:rsidRPr="000E04F5">
        <w:rPr>
          <w:rFonts w:ascii="Times New Roman" w:hAnsi="Times New Roman" w:cs="Times New Roman"/>
          <w:sz w:val="24"/>
          <w:szCs w:val="24"/>
          <w:shd w:val="clear" w:color="auto" w:fill="FFFFFF"/>
          <w:lang w:val="uk-UA"/>
        </w:rPr>
        <w:t xml:space="preserve"> суміші;</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 xml:space="preserve">організоване стаціонарне джерело викиду – це джерело викиду, з якого забруднюючі речовини надходять в атмосферне повітря через спеціально споруджені газоходи, димові труби, аераційні ліхтарі або інші споруди для відведення </w:t>
      </w:r>
      <w:proofErr w:type="spellStart"/>
      <w:r w:rsidRPr="000E04F5">
        <w:rPr>
          <w:rFonts w:ascii="Times New Roman" w:hAnsi="Times New Roman" w:cs="Times New Roman"/>
          <w:sz w:val="24"/>
          <w:szCs w:val="24"/>
          <w:shd w:val="clear" w:color="auto" w:fill="FFFFFF"/>
          <w:lang w:val="uk-UA"/>
        </w:rPr>
        <w:t>пилогазоповітряної</w:t>
      </w:r>
      <w:proofErr w:type="spellEnd"/>
      <w:r w:rsidRPr="000E04F5">
        <w:rPr>
          <w:rFonts w:ascii="Times New Roman" w:hAnsi="Times New Roman" w:cs="Times New Roman"/>
          <w:sz w:val="24"/>
          <w:szCs w:val="24"/>
          <w:shd w:val="clear" w:color="auto" w:fill="FFFFFF"/>
          <w:lang w:val="uk-UA"/>
        </w:rPr>
        <w:t xml:space="preserve"> суміші.</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Частиною п’ятою ст. 11 Закону № 2707 передбачено, що викиди забруднюючих речовин в атмосферне повітря стаціонарними джерелами можуть здійснюватися після отримання дозволу на викиди, виданого суб’єкту господарювання, об’єкт якого належить до другої або третьої групи, обласними, Київською, Севастопольською міськими державними адміністраціями, органом виконавчої влади Автономної Республіки Крим з питань охорони навколишнього природного середовища або через центри надання адміністративних послуг за погодженням з територіальним органом центрального органу виконавчої влади, що реалізує державну політику у сфері санітарного та епідемічного благополуччя населення.</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lastRenderedPageBreak/>
        <w:t>Викиди забруднюючих речовин в атмосферне повітря стаціонарними джерелами можуть здійснюватися на підставі дозволу на викиди, виданого суб’єкту господарювання, об’єкт якого належить до першої групи, суб’єкту господарювання, об’єкт якого знаходиться на території зони відчуження, зони безумовного (обов’язкового) відселення території, що зазнала радіоактивного забруднення внаслідок Чорнобильської катастрофи, центральним органом виконавчої влади, що реалізує державну політику у сфері охорони навколишнього природного середовища, або через центри надання адміністративних послуг за погодженням з центральним органом виконавчої влади, що реалізує державну політику у сфері санітарного та епідемічного благополуччя населення (частина шоста ст. 11 Закону № 2707).</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До першої групи належать об’єкти, які взяті на державний облік і мають виробництва або технологічне устаткування, на яких повинні впроваджуватися екологічно безпечні технології та методи керування. До другої групи належать об’єкти, які взяті на державний облік і не мають виробництв або технологічного устаткування, на яких повинні впроваджуватися екологічно безпечні технології та методи керування. До третьої групи належать об’єкти, які не належать до першої і другої груп (частина сьома ст. 11 Закону № 2707).</w:t>
      </w:r>
    </w:p>
    <w:p w:rsidR="000E04F5" w:rsidRPr="000E04F5" w:rsidRDefault="000E04F5" w:rsidP="000E04F5">
      <w:pPr>
        <w:spacing w:after="0" w:line="240" w:lineRule="auto"/>
        <w:ind w:firstLine="567"/>
        <w:jc w:val="both"/>
        <w:rPr>
          <w:rFonts w:ascii="Times New Roman" w:hAnsi="Times New Roman" w:cs="Times New Roman"/>
          <w:sz w:val="24"/>
          <w:szCs w:val="24"/>
          <w:lang w:val="uk-UA"/>
        </w:rPr>
      </w:pPr>
      <w:r w:rsidRPr="000E04F5">
        <w:rPr>
          <w:rFonts w:ascii="Times New Roman" w:hAnsi="Times New Roman" w:cs="Times New Roman"/>
          <w:sz w:val="24"/>
          <w:szCs w:val="24"/>
          <w:shd w:val="clear" w:color="auto" w:fill="FFFFFF"/>
          <w:lang w:val="uk-UA"/>
        </w:rPr>
        <w:t xml:space="preserve">Крім того, згідно з абзацом другим п. 1.9 Інструкції про зміст та порядок складання звіту проведення інвентаризації викидів забруднюючих речовин на підприємстві, затвердженої наказом Міністерства охорони навколишнього природного середовища та ядерної безпеки України від 10.02.1995 № 7 зі змінами та доповненнями, підприємство несе відповідальність за своєчасне представлення необхідної інформації, щодо ведення </w:t>
      </w:r>
      <w:proofErr w:type="spellStart"/>
      <w:r w:rsidRPr="000E04F5">
        <w:rPr>
          <w:rFonts w:ascii="Times New Roman" w:hAnsi="Times New Roman" w:cs="Times New Roman"/>
          <w:sz w:val="24"/>
          <w:szCs w:val="24"/>
          <w:shd w:val="clear" w:color="auto" w:fill="FFFFFF"/>
          <w:lang w:val="uk-UA"/>
        </w:rPr>
        <w:t>техпроцесів</w:t>
      </w:r>
      <w:proofErr w:type="spellEnd"/>
      <w:r w:rsidRPr="000E04F5">
        <w:rPr>
          <w:rFonts w:ascii="Times New Roman" w:hAnsi="Times New Roman" w:cs="Times New Roman"/>
          <w:sz w:val="24"/>
          <w:szCs w:val="24"/>
          <w:shd w:val="clear" w:color="auto" w:fill="FFFFFF"/>
          <w:lang w:val="uk-UA"/>
        </w:rPr>
        <w:t xml:space="preserve"> (</w:t>
      </w:r>
      <w:proofErr w:type="spellStart"/>
      <w:r w:rsidRPr="000E04F5">
        <w:rPr>
          <w:rFonts w:ascii="Times New Roman" w:hAnsi="Times New Roman" w:cs="Times New Roman"/>
          <w:sz w:val="24"/>
          <w:szCs w:val="24"/>
          <w:shd w:val="clear" w:color="auto" w:fill="FFFFFF"/>
          <w:lang w:val="uk-UA"/>
        </w:rPr>
        <w:t>техрегламенти</w:t>
      </w:r>
      <w:proofErr w:type="spellEnd"/>
      <w:r w:rsidRPr="000E04F5">
        <w:rPr>
          <w:rFonts w:ascii="Times New Roman" w:hAnsi="Times New Roman" w:cs="Times New Roman"/>
          <w:sz w:val="24"/>
          <w:szCs w:val="24"/>
          <w:shd w:val="clear" w:color="auto" w:fill="FFFFFF"/>
          <w:lang w:val="uk-UA"/>
        </w:rPr>
        <w:t>, режимні карти, сировини, що використовується і т. д.) та створення необхідних умов по проведенню вимірів.</w:t>
      </w:r>
    </w:p>
    <w:p w:rsidR="000E04F5" w:rsidRPr="000E04F5" w:rsidRDefault="000E04F5" w:rsidP="000E04F5">
      <w:pPr>
        <w:spacing w:after="0" w:line="240" w:lineRule="auto"/>
        <w:ind w:firstLine="567"/>
        <w:jc w:val="both"/>
        <w:rPr>
          <w:rFonts w:ascii="Times New Roman" w:hAnsi="Times New Roman" w:cs="Times New Roman"/>
          <w:sz w:val="24"/>
          <w:szCs w:val="24"/>
          <w:shd w:val="clear" w:color="auto" w:fill="FFFFFF"/>
          <w:lang w:val="uk-UA"/>
        </w:rPr>
      </w:pPr>
      <w:r w:rsidRPr="000E04F5">
        <w:rPr>
          <w:rFonts w:ascii="Times New Roman" w:hAnsi="Times New Roman" w:cs="Times New Roman"/>
          <w:sz w:val="24"/>
          <w:szCs w:val="24"/>
          <w:shd w:val="clear" w:color="auto" w:fill="FFFFFF"/>
          <w:lang w:val="uk-UA"/>
        </w:rPr>
        <w:t>Контролюючі органи залучають за попереднім погодженням працівників органу виконавчої влади Автономної Республіки Крим з питань охорони навколишнього природного середовища та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для перевірки правильності визначення платниками податку фактичних обсягів викидів стаціонарними джерелами забруднення, скидів та розміщення відходів (п. 250.12 ст. 250 ПКУ).</w:t>
      </w:r>
    </w:p>
    <w:p w:rsidR="000E04F5" w:rsidRPr="000E04F5" w:rsidRDefault="000E04F5" w:rsidP="000E04F5">
      <w:pPr>
        <w:spacing w:after="0" w:line="240" w:lineRule="auto"/>
        <w:ind w:firstLine="567"/>
        <w:jc w:val="both"/>
        <w:rPr>
          <w:rFonts w:ascii="Times New Roman" w:hAnsi="Times New Roman" w:cs="Times New Roman"/>
          <w:sz w:val="24"/>
          <w:szCs w:val="24"/>
          <w:shd w:val="clear" w:color="auto" w:fill="FFFFFF"/>
          <w:lang w:val="uk-UA"/>
        </w:rPr>
      </w:pPr>
      <w:r w:rsidRPr="000E04F5">
        <w:rPr>
          <w:rFonts w:ascii="Times New Roman" w:hAnsi="Times New Roman" w:cs="Times New Roman"/>
          <w:sz w:val="24"/>
          <w:szCs w:val="24"/>
          <w:shd w:val="clear" w:color="auto" w:fill="FFFFFF"/>
          <w:lang w:val="uk-UA"/>
        </w:rPr>
        <w:t>Отже, до стаціонарних джерел забруднення відносяться підприємство, цех, агрегат, установка або інший нерухомий об’єкт, що зберігає свої просторові координати протягом певного часу і здійснює викиди забруднюючих речовин в атмосферу та/або скиди забруднюючих речовин у водні об’єкти. Також до стаціонарних джерел забруднення можна віднести генератори, міні електростанції, газозварювальне обладнання (установки), які працюють на пальному при спаленні якого утворюються та викидаються в атмосферне повітря забруднюючі речовини або суміш таких речовин, що є об’єктом та базою оподаткування екологічним податком за викиди в атмосферне повітря забруднюючих речовин стаціонарними джерелами.</w:t>
      </w:r>
    </w:p>
    <w:p w:rsidR="000E04F5" w:rsidRPr="000E04F5" w:rsidRDefault="000E04F5" w:rsidP="000E04F5">
      <w:pPr>
        <w:ind w:firstLine="567"/>
        <w:rPr>
          <w:rStyle w:val="z-label"/>
          <w:rFonts w:ascii="Times New Roman" w:hAnsi="Times New Roman" w:cs="Times New Roman"/>
          <w:sz w:val="24"/>
          <w:szCs w:val="24"/>
        </w:rPr>
      </w:pPr>
      <w:r w:rsidRPr="000E04F5">
        <w:rPr>
          <w:rFonts w:ascii="Times New Roman" w:hAnsi="Times New Roman" w:cs="Times New Roman"/>
          <w:sz w:val="24"/>
          <w:szCs w:val="24"/>
          <w:shd w:val="clear" w:color="auto" w:fill="FFFFFF"/>
        </w:rPr>
        <w:t xml:space="preserve">За </w:t>
      </w:r>
      <w:proofErr w:type="spellStart"/>
      <w:r w:rsidRPr="000E04F5">
        <w:rPr>
          <w:rFonts w:ascii="Times New Roman" w:hAnsi="Times New Roman" w:cs="Times New Roman"/>
          <w:sz w:val="24"/>
          <w:szCs w:val="24"/>
          <w:shd w:val="clear" w:color="auto" w:fill="FFFFFF"/>
        </w:rPr>
        <w:t>інформацією</w:t>
      </w:r>
      <w:proofErr w:type="spellEnd"/>
      <w:r w:rsidRPr="000E04F5">
        <w:rPr>
          <w:rFonts w:ascii="Times New Roman" w:hAnsi="Times New Roman" w:cs="Times New Roman"/>
          <w:sz w:val="24"/>
          <w:szCs w:val="24"/>
          <w:shd w:val="clear" w:color="auto" w:fill="FFFFFF"/>
        </w:rPr>
        <w:t xml:space="preserve"> </w:t>
      </w:r>
      <w:proofErr w:type="spellStart"/>
      <w:r w:rsidRPr="000E04F5">
        <w:rPr>
          <w:rFonts w:ascii="Times New Roman" w:hAnsi="Times New Roman" w:cs="Times New Roman"/>
          <w:sz w:val="24"/>
          <w:szCs w:val="24"/>
          <w:shd w:val="clear" w:color="auto" w:fill="FFFFFF"/>
        </w:rPr>
        <w:t>загальнодоступного</w:t>
      </w:r>
      <w:proofErr w:type="spellEnd"/>
      <w:r w:rsidRPr="000E04F5">
        <w:rPr>
          <w:rFonts w:ascii="Times New Roman" w:hAnsi="Times New Roman" w:cs="Times New Roman"/>
          <w:sz w:val="24"/>
          <w:szCs w:val="24"/>
          <w:shd w:val="clear" w:color="auto" w:fill="FFFFFF"/>
        </w:rPr>
        <w:t xml:space="preserve"> </w:t>
      </w:r>
      <w:proofErr w:type="spellStart"/>
      <w:r w:rsidRPr="000E04F5">
        <w:rPr>
          <w:rFonts w:ascii="Times New Roman" w:hAnsi="Times New Roman" w:cs="Times New Roman"/>
          <w:sz w:val="24"/>
          <w:szCs w:val="24"/>
          <w:shd w:val="clear" w:color="auto" w:fill="FFFFFF"/>
        </w:rPr>
        <w:t>інформаційно-довідкового</w:t>
      </w:r>
      <w:proofErr w:type="spellEnd"/>
      <w:r w:rsidRPr="000E04F5">
        <w:rPr>
          <w:rFonts w:ascii="Times New Roman" w:hAnsi="Times New Roman" w:cs="Times New Roman"/>
          <w:sz w:val="24"/>
          <w:szCs w:val="24"/>
          <w:shd w:val="clear" w:color="auto" w:fill="FFFFFF"/>
        </w:rPr>
        <w:t xml:space="preserve"> ресурсу.</w:t>
      </w:r>
    </w:p>
    <w:p w:rsidR="000E04F5" w:rsidRDefault="000E04F5" w:rsidP="000E04F5">
      <w:pPr>
        <w:spacing w:after="0" w:line="240" w:lineRule="auto"/>
        <w:rPr>
          <w:rFonts w:ascii="Times New Roman" w:hAnsi="Times New Roman" w:cs="Times New Roman"/>
          <w:sz w:val="28"/>
          <w:szCs w:val="28"/>
          <w:lang w:val="en-US"/>
        </w:rPr>
      </w:pPr>
    </w:p>
    <w:p w:rsidR="00F11C58" w:rsidRDefault="00F11C58" w:rsidP="000E04F5">
      <w:pPr>
        <w:spacing w:after="0" w:line="240" w:lineRule="auto"/>
        <w:rPr>
          <w:rFonts w:ascii="Times New Roman" w:hAnsi="Times New Roman" w:cs="Times New Roman"/>
          <w:sz w:val="28"/>
          <w:szCs w:val="28"/>
          <w:lang w:val="en-US"/>
        </w:rPr>
      </w:pPr>
    </w:p>
    <w:p w:rsidR="00F11C58" w:rsidRDefault="00F11C58" w:rsidP="000E04F5">
      <w:pPr>
        <w:spacing w:after="0" w:line="240" w:lineRule="auto"/>
        <w:rPr>
          <w:rFonts w:ascii="Times New Roman" w:hAnsi="Times New Roman" w:cs="Times New Roman"/>
          <w:sz w:val="28"/>
          <w:szCs w:val="28"/>
          <w:lang w:val="en-US"/>
        </w:rPr>
      </w:pPr>
    </w:p>
    <w:p w:rsidR="00F11C58" w:rsidRDefault="00F11C58" w:rsidP="000E04F5">
      <w:pPr>
        <w:spacing w:after="0" w:line="240" w:lineRule="auto"/>
        <w:rPr>
          <w:rFonts w:ascii="Times New Roman" w:hAnsi="Times New Roman" w:cs="Times New Roman"/>
          <w:sz w:val="28"/>
          <w:szCs w:val="28"/>
          <w:lang w:val="en-US"/>
        </w:rPr>
      </w:pPr>
    </w:p>
    <w:p w:rsidR="00F11C58" w:rsidRDefault="00F11C58" w:rsidP="000E04F5">
      <w:pPr>
        <w:spacing w:after="0" w:line="240" w:lineRule="auto"/>
        <w:rPr>
          <w:rFonts w:ascii="Times New Roman" w:hAnsi="Times New Roman" w:cs="Times New Roman"/>
          <w:sz w:val="28"/>
          <w:szCs w:val="28"/>
          <w:lang w:val="en-US"/>
        </w:rPr>
      </w:pPr>
    </w:p>
    <w:p w:rsidR="00F11C58" w:rsidRDefault="00F11C58" w:rsidP="000E04F5">
      <w:pPr>
        <w:spacing w:after="0" w:line="240" w:lineRule="auto"/>
        <w:rPr>
          <w:rFonts w:ascii="Times New Roman" w:hAnsi="Times New Roman" w:cs="Times New Roman"/>
          <w:sz w:val="28"/>
          <w:szCs w:val="28"/>
          <w:lang w:val="en-US"/>
        </w:rPr>
      </w:pPr>
    </w:p>
    <w:p w:rsidR="00F11C58" w:rsidRPr="00F11C58" w:rsidRDefault="00F11C58" w:rsidP="000E04F5">
      <w:pPr>
        <w:spacing w:after="0" w:line="240" w:lineRule="auto"/>
        <w:rPr>
          <w:rFonts w:ascii="Times New Roman" w:hAnsi="Times New Roman" w:cs="Times New Roman"/>
          <w:sz w:val="28"/>
          <w:szCs w:val="28"/>
          <w:lang w:val="en-US"/>
        </w:rPr>
      </w:pPr>
      <w:bookmarkStart w:id="1" w:name="_GoBack"/>
      <w:bookmarkEnd w:id="1"/>
    </w:p>
    <w:p w:rsidR="000E04F5" w:rsidRPr="00F11C58" w:rsidRDefault="000E04F5" w:rsidP="000E04F5">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F11C58">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F11C58">
        <w:rPr>
          <w:rFonts w:ascii="Times New Roman" w:hAnsi="Times New Roman" w:cs="Times New Roman"/>
          <w:sz w:val="20"/>
          <w:szCs w:val="20"/>
        </w:rPr>
        <w:t>-</w:t>
      </w:r>
      <w:r w:rsidRPr="00EA716F">
        <w:rPr>
          <w:rFonts w:ascii="Times New Roman" w:hAnsi="Times New Roman" w:cs="Times New Roman"/>
          <w:sz w:val="20"/>
          <w:szCs w:val="20"/>
          <w:lang w:val="en-US"/>
        </w:rPr>
        <w:t>mail</w:t>
      </w:r>
      <w:r w:rsidRPr="00F11C58">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F11C58">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F11C58">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F11C58">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F11C58">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0E04F5" w:rsidRPr="000E04F5" w:rsidRDefault="000E04F5" w:rsidP="000E04F5">
      <w:pPr>
        <w:spacing w:after="0" w:line="240" w:lineRule="auto"/>
        <w:jc w:val="both"/>
        <w:rPr>
          <w:rFonts w:ascii="Times New Roman" w:hAnsi="Times New Roman" w:cs="Times New Roman"/>
          <w:sz w:val="28"/>
          <w:szCs w:val="28"/>
          <w:lang w:val="uk-UA"/>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0E04F5" w:rsidRPr="000E04F5"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4F5"/>
    <w:rsid w:val="000E04F5"/>
    <w:rsid w:val="004A64BE"/>
    <w:rsid w:val="00751448"/>
    <w:rsid w:val="008217F5"/>
    <w:rsid w:val="00F11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04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04F5"/>
    <w:rPr>
      <w:rFonts w:ascii="Tahoma" w:hAnsi="Tahoma" w:cs="Tahoma"/>
      <w:sz w:val="16"/>
      <w:szCs w:val="16"/>
    </w:rPr>
  </w:style>
  <w:style w:type="character" w:customStyle="1" w:styleId="z-label">
    <w:name w:val="z-label"/>
    <w:basedOn w:val="a0"/>
    <w:rsid w:val="000E04F5"/>
  </w:style>
  <w:style w:type="character" w:styleId="a5">
    <w:name w:val="Hyperlink"/>
    <w:uiPriority w:val="99"/>
    <w:rsid w:val="000E04F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04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04F5"/>
    <w:rPr>
      <w:rFonts w:ascii="Tahoma" w:hAnsi="Tahoma" w:cs="Tahoma"/>
      <w:sz w:val="16"/>
      <w:szCs w:val="16"/>
    </w:rPr>
  </w:style>
  <w:style w:type="character" w:customStyle="1" w:styleId="z-label">
    <w:name w:val="z-label"/>
    <w:basedOn w:val="a0"/>
    <w:rsid w:val="000E04F5"/>
  </w:style>
  <w:style w:type="character" w:styleId="a5">
    <w:name w:val="Hyperlink"/>
    <w:uiPriority w:val="99"/>
    <w:rsid w:val="000E04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4349</Words>
  <Characters>2479</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2022-09-14T11:13:00Z</dcterms:created>
  <dcterms:modified xsi:type="dcterms:W3CDTF">2022-09-21T05:40:00Z</dcterms:modified>
</cp:coreProperties>
</file>